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widowControl w:val="false"/>
        <w:tabs>
          <w:tab w:val="clear" w:pos="1008"/>
          <w:tab w:val="left" w:pos="3900" w:leader="none"/>
          <w:tab w:val="right" w:pos="10119" w:leader="none"/>
        </w:tabs>
        <w:suppressAutoHyphens w:val="false"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bCs/>
          <w:color w:val="000000"/>
          <w:sz w:val="26"/>
          <w:szCs w:val="26"/>
        </w:rPr>
        <w:t>ОКПД2 33.14.11.000 Выполнение работ по ремонту на объектах: ПС 110/35/10 кВ Дим, ПС 110/35/10 кВ Раздольное  структурного подразделения "Центральные электрические сети" в рамках выполнения годовой программы ремонтов основных производственных фондов 2026 года для нужд филиала  "Амурские электрические сети"</w:t>
      </w:r>
    </w:p>
    <w:p>
      <w:pPr>
        <w:pStyle w:val="Normal"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  <w:t>Лот № 112601-РЕМ ПРОД-2026-ДРСК-АЭС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7"/>
            <w:tabs>
              <w:tab w:val="clear" w:pos="1008"/>
              <w:tab w:val="left" w:pos="567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vanish w:val="false"/>
            </w:rPr>
            <w:instrText> TOC \z \o "1-4" \u \h</w:instrText>
          </w:r>
          <w:r>
            <w:rPr>
              <w:webHidden/>
              <w:vanish w:val="false"/>
            </w:rPr>
            <w:fldChar w:fldCharType="separate"/>
          </w:r>
          <w:hyperlink w:anchor="_Toc126842025">
            <w:r>
              <w:rPr>
                <w:webHidden/>
                <w:vanish w:val="false"/>
              </w:rPr>
              <w:t>1.</w:t>
            </w:r>
            <w:r>
              <w:rPr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_Toc126842025 \h</w:instrText>
            </w:r>
            <w:r>
              <w:rPr>
                <w:webHidden/>
              </w:rPr>
              <w:fldChar w:fldCharType="separate"/>
            </w:r>
            <w:r>
              <w:rPr/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42"/>
            <w:tabs>
              <w:tab w:val="clear" w:pos="10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6842026">
            <w:r>
              <w:rPr>
                <w:webHidden/>
                <w:iCs/>
                <w:vanish w:val="false"/>
              </w:rPr>
              <w:t>1.1.</w:t>
            </w:r>
            <w:r>
              <w:rPr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_Toc126842026 \h</w:instrText>
            </w:r>
            <w:r>
              <w:rPr>
                <w:webHidden/>
              </w:rPr>
              <w:fldChar w:fldCharType="separate"/>
            </w:r>
            <w:r>
              <w:rPr/>
              <w:t>Наименование закупаемых работ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clear" w:pos="1008"/>
              <w:tab w:val="right" w:pos="9911" w:leader="dot"/>
            </w:tabs>
            <w:rPr/>
          </w:pPr>
          <w:hyperlink w:anchor="_Toc126842027">
            <w:r>
              <w:rPr>
                <w:webHidden/>
                <w:vanish w:val="false"/>
              </w:rPr>
              <w:t>Таблица 1. Перечень объектов заказчика</w:t>
              <w:tab/>
            </w:r>
          </w:hyperlink>
          <w:hyperlink w:anchor="_Toc12684202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vanish w:val="false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ind w:left="561" w:hanging="0"/>
            <w:rPr>
              <w:rFonts w:eastAsia="" w:eastAsiaTheme="minorEastAsia"/>
              <w:sz w:val="20"/>
              <w:szCs w:val="20"/>
              <w:lang w:val="x-none"/>
            </w:rPr>
          </w:pPr>
          <w:r>
            <w:rPr>
              <w:rFonts w:eastAsia="" w:eastAsiaTheme="minorEastAsia"/>
              <w:sz w:val="20"/>
              <w:szCs w:val="20"/>
              <w:lang w:val="x-none"/>
            </w:rPr>
          </w:r>
        </w:p>
        <w:p>
          <w:pPr>
            <w:pStyle w:val="Normal"/>
            <w:ind w:left="561" w:hanging="0"/>
            <w:rPr>
              <w:rFonts w:eastAsia="" w:eastAsiaTheme="minorEastAsia"/>
              <w:sz w:val="20"/>
              <w:szCs w:val="20"/>
            </w:rPr>
          </w:pPr>
          <w:r>
            <w:rPr>
              <w:rFonts w:eastAsia="" w:eastAsiaTheme="minorEastAsia"/>
              <w:sz w:val="20"/>
              <w:szCs w:val="20"/>
              <w:lang w:val="x-none"/>
            </w:rPr>
            <w:t>1.2.</w:t>
          </w:r>
          <w:r>
            <w:rPr>
              <w:rFonts w:eastAsia="" w:eastAsiaTheme="minorEastAsia"/>
              <w:sz w:val="20"/>
              <w:szCs w:val="20"/>
            </w:rPr>
            <w:t xml:space="preserve"> </w:t>
          </w:r>
          <w:r>
            <w:rPr>
              <w:rFonts w:eastAsia="" w:eastAsiaTheme="minorEastAsia"/>
              <w:sz w:val="20"/>
              <w:szCs w:val="20"/>
              <w:lang w:val="x-none"/>
            </w:rPr>
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</w:r>
          <w:r>
            <w:rPr>
              <w:rFonts w:eastAsia="" w:eastAsiaTheme="minorEastAsia"/>
              <w:sz w:val="20"/>
              <w:szCs w:val="20"/>
            </w:rPr>
            <w:t>………………………………………………………………………………………………………………3</w:t>
          </w:r>
        </w:p>
        <w:p>
          <w:pPr>
            <w:pStyle w:val="1"/>
            <w:keepLines/>
            <w:numPr>
              <w:ilvl w:val="0"/>
              <w:numId w:val="0"/>
            </w:numPr>
            <w:spacing w:before="240" w:after="240"/>
            <w:ind w:left="0" w:hanging="0"/>
            <w:rPr/>
          </w:pPr>
          <w:r>
            <w:rPr>
              <w:sz w:val="24"/>
              <w:szCs w:val="24"/>
            </w:rPr>
            <w:t xml:space="preserve">Таблица </w:t>
          </w:r>
          <w:r>
            <w:rPr>
              <w:sz w:val="24"/>
              <w:szCs w:val="24"/>
              <w:lang w:val="ru-RU"/>
            </w:rPr>
            <w:t>2.</w:t>
          </w:r>
          <w:r>
            <w:rPr>
              <w:sz w:val="24"/>
              <w:szCs w:val="24"/>
            </w:rPr>
            <w:t xml:space="preserve"> Список МТР</w:t>
          </w:r>
          <w:r>
            <w:rPr>
              <w:sz w:val="24"/>
              <w:szCs w:val="24"/>
              <w:lang w:val="ru-RU"/>
            </w:rPr>
            <w:t>,</w:t>
          </w:r>
          <w:r>
            <w:rPr>
              <w:sz w:val="24"/>
              <w:szCs w:val="24"/>
            </w:rPr>
            <w:t xml:space="preserve"> передаваемых от Заказчика Подрядчику</w:t>
          </w:r>
          <w:r>
            <w:rPr>
              <w:sz w:val="24"/>
              <w:szCs w:val="24"/>
              <w:lang w:val="ru-RU"/>
            </w:rPr>
            <w:t xml:space="preserve">…………………………...3 </w:t>
          </w:r>
        </w:p>
        <w:p>
          <w:pPr>
            <w:pStyle w:val="17"/>
            <w:tabs>
              <w:tab w:val="clear" w:pos="1008"/>
              <w:tab w:val="left" w:pos="567" w:leader="none"/>
              <w:tab w:val="right" w:pos="9911" w:leader="dot"/>
            </w:tabs>
            <w:rPr/>
          </w:pPr>
          <w:hyperlink w:anchor="_Toc126842031">
            <w:r>
              <w:rPr>
                <w:webHidden/>
                <w:vanish w:val="false"/>
              </w:rPr>
              <w:t>2.</w:t>
            </w:r>
            <w:r>
              <w:rPr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iCs/>
              </w:rPr>
              <w:t>Требования к продукции</w:t>
            </w:r>
            <w:r>
              <w:rPr/>
              <w:tab/>
            </w:r>
          </w:hyperlink>
          <w:r>
            <w:rPr/>
            <w:t>4</w:t>
          </w:r>
        </w:p>
        <w:p>
          <w:pPr>
            <w:pStyle w:val="42"/>
            <w:tabs>
              <w:tab w:val="clear" w:pos="1008"/>
              <w:tab w:val="left" w:pos="1120" w:leader="none"/>
              <w:tab w:val="right" w:pos="9911" w:leader="dot"/>
            </w:tabs>
            <w:rPr/>
          </w:pPr>
          <w:hyperlink w:anchor="_Toc126842032">
            <w:r>
              <w:rPr>
                <w:webHidden/>
                <w:iCs/>
                <w:vanish w:val="false"/>
              </w:rPr>
              <w:t>2.1.</w:t>
            </w:r>
            <w:r>
              <w:rPr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/>
              <w:t>Требования к объемам и срокам выполнения работ</w:t>
              <w:tab/>
            </w:r>
          </w:hyperlink>
          <w:r>
            <w:rPr/>
            <w:t>4</w:t>
          </w:r>
        </w:p>
        <w:p>
          <w:pPr>
            <w:pStyle w:val="35"/>
            <w:rPr/>
          </w:pPr>
          <w:hyperlink w:anchor="_Toc126842033">
            <w:r>
              <w:rPr>
                <w:webHidden/>
                <w:vanish w:val="false"/>
              </w:rPr>
              <w:t>2.1.1.</w:t>
            </w:r>
            <w:r>
              <w:rPr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/>
              <w:t>Требования к видам и объемам работ</w:t>
              <w:tab/>
            </w:r>
          </w:hyperlink>
          <w:r>
            <w:rPr/>
            <w:t>4</w:t>
          </w:r>
        </w:p>
        <w:p>
          <w:pPr>
            <w:pStyle w:val="17"/>
            <w:tabs>
              <w:tab w:val="clear" w:pos="1008"/>
              <w:tab w:val="right" w:pos="9911" w:leader="dot"/>
            </w:tabs>
            <w:rPr/>
          </w:pPr>
          <w:hyperlink w:anchor="_Toc126842034">
            <w:r>
              <w:rPr>
                <w:webHidden/>
                <w:vanish w:val="false"/>
              </w:rPr>
              <w:t>Таблица 3. Перечень и объем выполняемых работ</w:t>
              <w:tab/>
            </w:r>
          </w:hyperlink>
          <w:r>
            <w:rPr/>
            <w:t>4</w:t>
          </w:r>
        </w:p>
        <w:p>
          <w:pPr>
            <w:pStyle w:val="35"/>
            <w:rPr/>
          </w:pPr>
          <w:hyperlink w:anchor="_Toc126842035">
            <w:r>
              <w:rPr>
                <w:webHidden/>
                <w:vanish w:val="false"/>
              </w:rPr>
              <w:t>2.1.2.</w:t>
            </w:r>
            <w:r>
              <w:rPr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/>
              <w:t>Требования к срокам выполнения работ</w:t>
              <w:tab/>
            </w:r>
          </w:hyperlink>
          <w:r>
            <w:rPr/>
            <w:t>5</w:t>
          </w:r>
        </w:p>
        <w:p>
          <w:pPr>
            <w:pStyle w:val="17"/>
            <w:tabs>
              <w:tab w:val="clear" w:pos="1008"/>
              <w:tab w:val="right" w:pos="9911" w:leader="dot"/>
            </w:tabs>
            <w:rPr/>
          </w:pPr>
          <w:hyperlink w:anchor="_Toc126842036">
            <w:r>
              <w:rPr>
                <w:webHidden/>
                <w:vanish w:val="false"/>
              </w:rPr>
              <w:t>Таблица 4. Требования по срокам выполнения работ</w:t>
              <w:tab/>
            </w:r>
          </w:hyperlink>
          <w:r>
            <w:rPr/>
            <w:t>5</w:t>
          </w:r>
        </w:p>
        <w:p>
          <w:pPr>
            <w:pStyle w:val="42"/>
            <w:tabs>
              <w:tab w:val="clear" w:pos="1008"/>
              <w:tab w:val="left" w:pos="1120" w:leader="none"/>
              <w:tab w:val="right" w:pos="9911" w:leader="dot"/>
            </w:tabs>
            <w:rPr/>
          </w:pPr>
          <w:hyperlink w:anchor="_Toc126842037">
            <w:r>
              <w:rPr>
                <w:webHidden/>
                <w:iCs/>
                <w:vanish w:val="false"/>
              </w:rPr>
              <w:t>2.2.</w:t>
            </w:r>
            <w:r>
              <w:rPr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/>
              <w:t>Требования к качеству работ</w:t>
              <w:tab/>
            </w:r>
          </w:hyperlink>
          <w:r>
            <w:rPr/>
            <w:t>5</w:t>
          </w:r>
        </w:p>
        <w:p>
          <w:pPr>
            <w:pStyle w:val="17"/>
            <w:tabs>
              <w:tab w:val="clear" w:pos="1008"/>
              <w:tab w:val="right" w:pos="9911" w:leader="dot"/>
            </w:tabs>
            <w:rPr/>
          </w:pPr>
          <w:hyperlink w:anchor="_Toc126842038">
            <w:r>
              <w:rPr>
                <w:webHidden/>
                <w:vanish w:val="false"/>
              </w:rPr>
              <w:t>Таблица 5. Требования к качеству работ</w:t>
              <w:tab/>
            </w:r>
          </w:hyperlink>
          <w:r>
            <w:rPr/>
            <w:t>5</w:t>
          </w:r>
        </w:p>
        <w:p>
          <w:pPr>
            <w:pStyle w:val="17"/>
            <w:tabs>
              <w:tab w:val="clear" w:pos="1008"/>
              <w:tab w:val="left" w:pos="567" w:leader="none"/>
              <w:tab w:val="right" w:pos="9911" w:leader="dot"/>
            </w:tabs>
            <w:rPr/>
          </w:pPr>
          <w:hyperlink w:anchor="_Toc126842039">
            <w:r>
              <w:rPr>
                <w:webHidden/>
                <w:vanish w:val="false"/>
              </w:rPr>
              <w:t>3.</w:t>
            </w:r>
            <w:r>
              <w:rPr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/>
              <w:t>Требования к документации по ценообразованию на этапе закупки</w:t>
              <w:tab/>
            </w:r>
          </w:hyperlink>
          <w:r>
            <w:rPr/>
            <w:t>9</w:t>
          </w:r>
        </w:p>
        <w:p>
          <w:pPr>
            <w:pStyle w:val="17"/>
            <w:tabs>
              <w:tab w:val="clear" w:pos="1008"/>
              <w:tab w:val="left" w:pos="567" w:leader="none"/>
              <w:tab w:val="right" w:pos="9911" w:leader="dot"/>
            </w:tabs>
            <w:rPr/>
          </w:pPr>
          <w:hyperlink w:anchor="_Toc126842040">
            <w:r>
              <w:rPr>
                <w:webHidden/>
                <w:vanish w:val="false"/>
              </w:rPr>
              <w:t>4.</w:t>
            </w:r>
            <w:r>
              <w:rPr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/>
              <w:t>Требования к документации по ценообразованию на этапе заключения (исполнения) договора</w:t>
              <w:tab/>
            </w:r>
          </w:hyperlink>
          <w:r>
            <w:rPr/>
            <w:t>9</w:t>
          </w:r>
        </w:p>
        <w:p>
          <w:pPr>
            <w:pStyle w:val="17"/>
            <w:tabs>
              <w:tab w:val="clear" w:pos="1008"/>
              <w:tab w:val="left" w:pos="567" w:leader="none"/>
              <w:tab w:val="right" w:pos="9911" w:leader="dot"/>
            </w:tabs>
            <w:rPr/>
          </w:pPr>
          <w:hyperlink w:anchor="_Toc126842041">
            <w:r>
              <w:rPr>
                <w:webHidden/>
                <w:vanish w:val="false"/>
              </w:rPr>
              <w:t>5.</w:t>
            </w:r>
            <w:r>
              <w:rPr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iCs/>
              </w:rPr>
              <w:t>Приложения</w:t>
            </w:r>
            <w:r>
              <w:rPr/>
              <w:tab/>
            </w:r>
          </w:hyperlink>
          <w:r>
            <w:rPr/>
            <w:t>10</w:t>
          </w:r>
          <w:r>
            <w:rPr/>
            <w:fldChar w:fldCharType="end"/>
          </w:r>
        </w:p>
      </w:sdtContent>
    </w:sdt>
    <w:p>
      <w:pPr>
        <w:pStyle w:val="2"/>
        <w:ind w:hanging="0"/>
        <w:rPr>
          <w:b w:val="false"/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caps/>
          <w:lang w:val="ru-RU"/>
        </w:rPr>
      </w:pPr>
      <w:bookmarkStart w:id="0" w:name="_Toc46743506"/>
      <w:bookmarkStart w:id="1" w:name="_Toc125567276"/>
      <w:bookmarkStart w:id="2" w:name="_Toc51339692"/>
      <w:bookmarkStart w:id="3" w:name="_Toc126842025"/>
      <w:bookmarkEnd w:id="1"/>
      <w:bookmarkEnd w:id="2"/>
      <w:bookmarkEnd w:id="3"/>
      <w:r>
        <w:rPr>
          <w:lang w:val="ru-RU"/>
        </w:rPr>
        <w:t>Общие сведения</w:t>
      </w:r>
    </w:p>
    <w:p>
      <w:pPr>
        <w:pStyle w:val="4"/>
        <w:numPr>
          <w:ilvl w:val="1"/>
          <w:numId w:val="2"/>
        </w:numPr>
        <w:rPr/>
      </w:pPr>
      <w:bookmarkStart w:id="4" w:name="_Toc126842026"/>
      <w:r>
        <w:rPr/>
        <w:t>Наименование закупаем</w:t>
      </w:r>
      <w:r>
        <w:rPr>
          <w:lang w:val="ru-RU"/>
        </w:rPr>
        <w:t>ых</w:t>
      </w:r>
      <w:r>
        <w:rPr/>
        <w:t xml:space="preserve"> </w:t>
      </w:r>
      <w:bookmarkEnd w:id="0"/>
      <w:bookmarkEnd w:id="4"/>
      <w:r>
        <w:rPr>
          <w:lang w:val="ru-RU"/>
        </w:rPr>
        <w:t>работ</w:t>
      </w:r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/>
      </w:pPr>
      <w:r>
        <w:rPr>
          <w:b w:val="false"/>
          <w:i/>
          <w:sz w:val="26"/>
          <w:szCs w:val="26"/>
        </w:rPr>
        <w:t xml:space="preserve">ОКПД2 33.14.11.000 Выполнение работ по ремонту на объектах: ПС 110/35/10 кВ Дим, ПС 110/35/10 кВ Раздольное </w:t>
      </w:r>
      <w:bookmarkStart w:id="5" w:name="_Toc126842027"/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>
          <w:sz w:val="24"/>
          <w:szCs w:val="24"/>
          <w:lang w:val="ru-RU"/>
        </w:rPr>
      </w:pPr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bookmarkEnd w:id="5"/>
      <w:r>
        <w:rPr>
          <w:sz w:val="24"/>
          <w:szCs w:val="24"/>
          <w:lang w:val="ru-RU"/>
        </w:rPr>
        <w:t>Перечень объектов заказчика</w:t>
      </w:r>
    </w:p>
    <w:tbl>
      <w:tblPr>
        <w:tblW w:w="10064" w:type="dxa"/>
        <w:jc w:val="left"/>
        <w:tblInd w:w="78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52"/>
        <w:gridCol w:w="2725"/>
        <w:gridCol w:w="2273"/>
        <w:gridCol w:w="2673"/>
        <w:gridCol w:w="1841"/>
      </w:tblGrid>
      <w:tr>
        <w:trPr/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 110/35/10 кВ Раздольное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область, Тамбовский район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ПС 110/35/10 Раздольная, инв. № CS0001622</w:t>
            </w:r>
          </w:p>
        </w:tc>
        <w:tc>
          <w:tcPr>
            <w:tcW w:w="18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Эксплуатирующая организация: СП «Центральные электрические сети» филиала АО «ДРСК» «Амурские ЭС»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/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  <w:szCs w:val="24"/>
              </w:rPr>
              <w:t>ПС 110/35/10 кВ Дим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область, Тамбовский район</w:t>
            </w:r>
          </w:p>
        </w:tc>
        <w:tc>
          <w:tcPr>
            <w:tcW w:w="2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ПС 110/35 Димская (ПС 110/35 Дим), инв. № CS0002285</w:t>
            </w:r>
          </w:p>
        </w:tc>
        <w:tc>
          <w:tcPr>
            <w:tcW w:w="184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before="120" w:after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Работы производятся на действующих подстанциях,</w:t>
      </w:r>
      <w:r>
        <w:rPr>
          <w:color w:val="000000"/>
          <w:sz w:val="26"/>
          <w:szCs w:val="26"/>
        </w:rPr>
        <w:t xml:space="preserve">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903н.</w:t>
      </w:r>
    </w:p>
    <w:p>
      <w:pPr>
        <w:pStyle w:val="4"/>
        <w:numPr>
          <w:ilvl w:val="1"/>
          <w:numId w:val="2"/>
        </w:numPr>
        <w:spacing w:before="240" w:after="60"/>
        <w:ind w:left="431" w:hanging="431"/>
        <w:jc w:val="both"/>
        <w:rPr/>
      </w:pPr>
      <w:bookmarkStart w:id="6" w:name="_Toc126842028"/>
      <w:bookmarkStart w:id="7" w:name="_Hlk48209761"/>
      <w:bookmarkEnd w:id="7"/>
      <w:r>
        <w:rPr/>
        <w:t xml:space="preserve">Информация в отношении исполнения договора, </w:t>
      </w:r>
      <w:bookmarkStart w:id="8" w:name="_Hlk46492347"/>
      <w:r>
        <w:rPr/>
        <w:t xml:space="preserve">которая должна быть учтена при подготовке заявки </w:t>
      </w:r>
      <w:bookmarkEnd w:id="8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bookmarkEnd w:id="6"/>
      <w:r>
        <w:rPr/>
        <w:t xml:space="preserve"> на этапе исполнения договора)</w:t>
      </w:r>
    </w:p>
    <w:p>
      <w:pPr>
        <w:pStyle w:val="Normal"/>
        <w:ind w:firstLine="709"/>
        <w:jc w:val="both"/>
        <w:rPr/>
      </w:pPr>
      <w:r>
        <w:rPr>
          <w:color w:val="000000"/>
          <w:sz w:val="26"/>
          <w:szCs w:val="26"/>
        </w:rPr>
        <w:t xml:space="preserve">1.2.1. Заказчик передает Подрядчику </w:t>
      </w:r>
      <w:r>
        <w:rPr>
          <w:color w:val="000000"/>
          <w:sz w:val="26"/>
          <w:szCs w:val="26"/>
          <w:shd w:fill="FFFFFF" w:val="clear"/>
        </w:rPr>
        <w:t>по акту приема-передачи согласно давальческой схеме</w:t>
      </w:r>
      <w:r>
        <w:rPr>
          <w:color w:val="000000"/>
          <w:sz w:val="26"/>
          <w:szCs w:val="26"/>
        </w:rPr>
        <w:t>, со склада филиала АО «ДРСК» - «Амурские электрические сети» в г. Благовещенск, следующие материалы:</w:t>
      </w:r>
    </w:p>
    <w:p>
      <w:pPr>
        <w:pStyle w:val="1"/>
        <w:numPr>
          <w:ilvl w:val="0"/>
          <w:numId w:val="0"/>
        </w:numPr>
        <w:spacing w:before="240" w:after="240"/>
        <w:ind w:left="0" w:hanging="0"/>
        <w:rPr/>
      </w:pPr>
      <w:bookmarkStart w:id="9" w:name="_Toc12684202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Список МТР</w:t>
      </w:r>
      <w:r>
        <w:rPr>
          <w:sz w:val="24"/>
          <w:szCs w:val="24"/>
          <w:lang w:val="ru-RU"/>
        </w:rPr>
        <w:t>,</w:t>
      </w:r>
      <w:r>
        <w:rPr>
          <w:sz w:val="24"/>
          <w:szCs w:val="24"/>
        </w:rPr>
        <w:t xml:space="preserve"> передаваемых от Заказчика Подрядчику</w:t>
      </w:r>
      <w:bookmarkEnd w:id="9"/>
      <w:r>
        <w:rPr>
          <w:sz w:val="24"/>
          <w:szCs w:val="24"/>
          <w:lang w:val="ru-RU"/>
        </w:rPr>
        <w:t xml:space="preserve"> </w:t>
      </w:r>
    </w:p>
    <w:tbl>
      <w:tblPr>
        <w:tblW w:w="9729" w:type="dxa"/>
        <w:jc w:val="left"/>
        <w:tblInd w:w="216" w:type="dxa"/>
        <w:tblLayout w:type="fixed"/>
        <w:tblCellMar>
          <w:top w:w="0" w:type="dxa"/>
          <w:left w:w="1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7147"/>
        <w:gridCol w:w="1261"/>
        <w:gridCol w:w="1321"/>
      </w:tblGrid>
      <w:tr>
        <w:trPr>
          <w:trHeight w:val="763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ПС 110/35/10 кВ Раздольное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 проходной ИПУ-10/630-7.5 УХЛ1 (квадратный фланец)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 0.5S/0.5S/10P 10/10/15ВА 100/5А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ТЛК-СТ-10-ТЛМ1(1)-0.5S/0.5S/10Р-10/10/15-150/5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ТЛК-СТ-10-ТЛМ1(1)-0.5S/0/0.5S/10Р-10/10/15-200/5-У2 10кВ 200/5А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ТЛК-СТ-10-ТЛМ1(1)-0.5S/10Р/10Р-10/15/15-1000/5 0.5S/10P/10P 10/15/15ВА 1000/5А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ТЛК-СТ-10-ТЛМ1(1)-0.5S/10Р/10Р-10/15/15-600/5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ТЛК-СТ-ТЛМ1(1) 0.5S/0.5S/10P 10/10/15ВА 300/5А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токовой защиты Орион-РТЗ 220В 260х160х170мм ГОСТ 14254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выкатной (вакуумный выключатель ВВ-10-20/1000 У2)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ПС 110/35/10 кВ Дим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 0.5S/0.5S/10P 10/10/15ВА 100/5А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ТЛК-СТ-10-ТЛМ1(1)-0.5S/0.5S/10Р-10/10/15-150/5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ТЛК-СТ-10-ТЛМ1(1)-0.5S/10Р/10Р-10/15/15-1000/5 0.5S/10P/10P 10/15/15ВА 1000/5А У2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6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Трансформатор тока ТЛК-СТ-10-ТЛМ1(1)-0.5S/10Р/10Р-10/15/15-600/5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защиты многофункциональное Сириус-2-В-БПТ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защиты многофункциональное Сириус-2-С-БПТ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токовой защиты Орион-РТЗ 220В 260х160х170мм ГОСТ 14254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выкатной (вакуумный выключатель ВВ-10-20/1000 У2)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44" w:hRule="atLeast"/>
        </w:trPr>
        <w:tc>
          <w:tcPr>
            <w:tcW w:w="7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52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выкатной для ячейки КРУН К-37 (выключатель вакуумный BB-10-20/1000)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>
      <w:pPr>
        <w:pStyle w:val="Normal"/>
        <w:ind w:firstLine="709"/>
        <w:jc w:val="both"/>
        <w:rPr/>
      </w:pPr>
      <w:r>
        <w:rPr>
          <w:sz w:val="26"/>
          <w:szCs w:val="26"/>
        </w:rPr>
        <w:t xml:space="preserve">                    </w:t>
      </w:r>
    </w:p>
    <w:p>
      <w:pPr>
        <w:pStyle w:val="Normal"/>
        <w:jc w:val="both"/>
        <w:rPr/>
      </w:pPr>
      <w:r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1.2.2. </w:t>
      </w:r>
      <w:r>
        <w:rPr>
          <w:sz w:val="26"/>
          <w:szCs w:val="26"/>
        </w:rPr>
        <w:t>Остальные необходимые материалы для выполнения указанных работ в ведомостях дефектов и объемов работ (Приложения 1.1-1.2) приобретаются Подрядчиком самостоятельно.</w:t>
      </w:r>
    </w:p>
    <w:p>
      <w:pPr>
        <w:pStyle w:val="Normal"/>
        <w:ind w:firstLine="709"/>
        <w:jc w:val="both"/>
        <w:rPr>
          <w:rStyle w:val="Strong"/>
          <w:b w:val="false"/>
          <w:b w:val="false"/>
        </w:rPr>
      </w:pPr>
      <w:r>
        <w:rPr>
          <w:b w:val="false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iCs/>
          <w:caps/>
          <w:lang w:val="ru-RU"/>
        </w:rPr>
      </w:pPr>
      <w:bookmarkStart w:id="10" w:name="_Toc51339693"/>
      <w:bookmarkStart w:id="11" w:name="_Toc126842031"/>
      <w:bookmarkStart w:id="12" w:name="_Hlk482097611"/>
      <w:bookmarkStart w:id="13" w:name="_Toc50125126"/>
      <w:bookmarkEnd w:id="10"/>
      <w:bookmarkEnd w:id="11"/>
      <w:bookmarkEnd w:id="12"/>
      <w:bookmarkEnd w:id="13"/>
      <w:r>
        <w:rPr>
          <w:iCs/>
        </w:rPr>
        <w:t>Требования к продукции</w:t>
      </w:r>
    </w:p>
    <w:p>
      <w:pPr>
        <w:pStyle w:val="4"/>
        <w:numPr>
          <w:ilvl w:val="1"/>
          <w:numId w:val="2"/>
        </w:numPr>
        <w:rPr/>
      </w:pPr>
      <w:bookmarkStart w:id="14" w:name="_Toc126842032"/>
      <w:r>
        <w:rPr/>
        <w:t xml:space="preserve">Требования к объемам и срокам </w:t>
      </w:r>
      <w:bookmarkEnd w:id="14"/>
      <w:r>
        <w:rPr>
          <w:lang w:val="ru-RU"/>
        </w:rPr>
        <w:t>выполнения работ</w:t>
      </w:r>
    </w:p>
    <w:p>
      <w:pPr>
        <w:pStyle w:val="3"/>
        <w:numPr>
          <w:ilvl w:val="2"/>
          <w:numId w:val="2"/>
        </w:numPr>
        <w:rPr/>
      </w:pPr>
      <w:bookmarkStart w:id="15" w:name="_Toc126842033"/>
      <w:bookmarkEnd w:id="15"/>
      <w:r>
        <w:rPr>
          <w:lang w:val="ru-RU"/>
        </w:rPr>
        <w:t>Требования к видам и объемам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/>
      </w:pPr>
      <w:bookmarkStart w:id="16" w:name="_Toc51339695"/>
      <w:bookmarkStart w:id="17" w:name="_Toc12684203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6"/>
      <w:bookmarkEnd w:id="17"/>
      <w:r>
        <w:rPr>
          <w:sz w:val="24"/>
          <w:szCs w:val="24"/>
          <w:lang w:val="ru-RU"/>
        </w:rPr>
        <w:t>и объем выполняемых работ</w:t>
      </w:r>
    </w:p>
    <w:tbl>
      <w:tblPr>
        <w:tblW w:w="9810" w:type="dxa"/>
        <w:jc w:val="left"/>
        <w:tblInd w:w="186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  <w:szCs w:val="24"/>
              </w:rPr>
              <w:t>Ремонт ПС 110/35/10 кВ Раздольное</w:t>
            </w:r>
          </w:p>
        </w:tc>
        <w:tc>
          <w:tcPr>
            <w:tcW w:w="4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4"/>
                <w:szCs w:val="24"/>
              </w:rPr>
              <w:t>Ремонт ПС 110/35/10 кВ Дим</w:t>
            </w:r>
          </w:p>
        </w:tc>
        <w:tc>
          <w:tcPr>
            <w:tcW w:w="4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1.2 к настоящим Техническим требованиям)</w:t>
            </w:r>
          </w:p>
        </w:tc>
      </w:tr>
    </w:tbl>
    <w:p>
      <w:pPr>
        <w:pStyle w:val="3"/>
        <w:numPr>
          <w:ilvl w:val="0"/>
          <w:numId w:val="0"/>
        </w:numPr>
        <w:ind w:left="1224" w:hanging="0"/>
        <w:rPr>
          <w:lang w:val="ru-RU"/>
        </w:rPr>
      </w:pPr>
      <w:r>
        <w:rPr>
          <w:lang w:val="ru-RU"/>
        </w:rPr>
      </w:r>
    </w:p>
    <w:p>
      <w:pPr>
        <w:pStyle w:val="3"/>
        <w:numPr>
          <w:ilvl w:val="2"/>
          <w:numId w:val="2"/>
        </w:numPr>
        <w:rPr/>
      </w:pPr>
      <w:r>
        <w:rPr>
          <w:lang w:val="ru-RU"/>
        </w:rPr>
        <w:t xml:space="preserve"> </w:t>
      </w:r>
      <w:bookmarkStart w:id="18" w:name="_Toc51339696"/>
      <w:bookmarkStart w:id="19" w:name="_Toc126842035"/>
      <w:r>
        <w:rPr>
          <w:lang w:val="ru-RU"/>
        </w:rPr>
        <w:t xml:space="preserve">Требования </w:t>
      </w:r>
      <w:bookmarkEnd w:id="18"/>
      <w:bookmarkEnd w:id="19"/>
      <w:r>
        <w:rPr>
          <w:lang w:val="ru-RU"/>
        </w:rPr>
        <w:t>к срокам выполнения работ</w:t>
      </w:r>
    </w:p>
    <w:p>
      <w:pPr>
        <w:pStyle w:val="3"/>
        <w:numPr>
          <w:ilvl w:val="0"/>
          <w:numId w:val="0"/>
        </w:numPr>
        <w:ind w:left="1224" w:hanging="0"/>
        <w:rPr>
          <w:lang w:val="ru-RU"/>
        </w:rPr>
      </w:pPr>
      <w:r>
        <w:rPr>
          <w:lang w:val="ru-RU"/>
        </w:rPr>
      </w:r>
    </w:p>
    <w:p>
      <w:pPr>
        <w:pStyle w:val="3"/>
        <w:numPr>
          <w:ilvl w:val="0"/>
          <w:numId w:val="0"/>
        </w:numPr>
        <w:ind w:left="0" w:hanging="0"/>
        <w:rPr/>
      </w:pPr>
      <w:r>
        <w:rPr/>
        <w:t xml:space="preserve">Таблица </w:t>
      </w:r>
      <w:r>
        <w:rPr>
          <w:lang w:val="ru-RU"/>
        </w:rPr>
        <w:t>4</w:t>
      </w:r>
      <w:r>
        <w:rPr/>
        <w:t>. Требования по срокам</w:t>
      </w:r>
      <w:bookmarkStart w:id="20" w:name="_Toc126842036"/>
      <w:bookmarkStart w:id="21" w:name="_Toc50125127"/>
      <w:bookmarkStart w:id="22" w:name="_Toc51339697"/>
      <w:bookmarkStart w:id="23" w:name="_Hlk50465284"/>
      <w:bookmarkEnd w:id="20"/>
      <w:bookmarkEnd w:id="21"/>
      <w:bookmarkEnd w:id="22"/>
      <w:bookmarkEnd w:id="23"/>
      <w:r>
        <w:rPr/>
        <w:t xml:space="preserve"> </w:t>
      </w:r>
      <w:r>
        <w:rPr>
          <w:lang w:val="ru-RU"/>
        </w:rPr>
        <w:t>выполнения работ</w:t>
      </w:r>
    </w:p>
    <w:tbl>
      <w:tblPr>
        <w:tblW w:w="9776" w:type="dxa"/>
        <w:jc w:val="left"/>
        <w:tblInd w:w="78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8"/>
        <w:gridCol w:w="4681"/>
        <w:gridCol w:w="2267"/>
        <w:gridCol w:w="2129"/>
      </w:tblGrid>
      <w:tr>
        <w:trPr/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4" w:name="_Toc46743510"/>
            <w:bookmarkEnd w:id="24"/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57" w:hRule="atLeast"/>
        </w:trPr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" w:hanging="0"/>
              <w:rPr>
                <w:rFonts w:eastAsia="WenQuanYi Zen Hei Sharp"/>
                <w:bCs/>
                <w:sz w:val="24"/>
                <w:szCs w:val="24"/>
                <w:lang w:eastAsia="zh-CN" w:bidi="hi-IN"/>
              </w:rPr>
            </w:pPr>
            <w:r>
              <w:rPr>
                <w:rFonts w:eastAsia="WenQuanYi Zen Hei Sharp"/>
                <w:bCs/>
                <w:color w:val="000000"/>
                <w:sz w:val="24"/>
                <w:szCs w:val="24"/>
                <w:lang w:eastAsia="zh-CN" w:bidi="hi-IN"/>
              </w:rPr>
              <w:t>Ремонт ПС 110/35/10 кВ Дим</w:t>
            </w:r>
          </w:p>
        </w:tc>
        <w:tc>
          <w:tcPr>
            <w:tcW w:w="22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даты, следующей за датой заключения договора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shd w:fill="FFFF00" w:val="clear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течение 1 (одного) месяца с даты начала выполнения работ по Договору</w:t>
            </w:r>
            <w:r>
              <w:rPr>
                <w:sz w:val="22"/>
                <w:szCs w:val="22"/>
                <w:shd w:fill="FFFF00" w:val="clear"/>
              </w:rPr>
              <w:t xml:space="preserve">  </w:t>
            </w:r>
          </w:p>
        </w:tc>
      </w:tr>
      <w:tr>
        <w:trPr/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4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" w:hanging="0"/>
              <w:rPr>
                <w:rFonts w:eastAsia="WenQuanYi Zen Hei Sharp"/>
                <w:bCs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WenQuanYi Zen Hei Sharp"/>
                <w:bCs/>
                <w:color w:val="000000"/>
                <w:sz w:val="24"/>
                <w:szCs w:val="24"/>
                <w:lang w:eastAsia="zh-CN" w:bidi="hi-IN"/>
              </w:rPr>
              <w:t>Ремонт ПС 110/35/10 кВ Раздольное</w:t>
            </w:r>
          </w:p>
        </w:tc>
        <w:tc>
          <w:tcPr>
            <w:tcW w:w="22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FFFF00" w:val="clear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течение 3 (трех) месяцев с даты начала выполнения работ по Договору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pacing w:before="240" w:after="60"/>
        <w:ind w:left="0" w:hanging="0"/>
        <w:outlineLvl w:val="0"/>
        <w:rPr>
          <w:sz w:val="24"/>
          <w:szCs w:val="24"/>
        </w:rPr>
      </w:pPr>
      <w:r>
        <w:rPr>
          <w:color w:val="000000"/>
          <w:sz w:val="24"/>
          <w:szCs w:val="24"/>
        </w:rPr>
        <w:t>Этапы выполнения работ указаны в</w:t>
      </w:r>
      <w:r>
        <w:rPr>
          <w:i/>
          <w:sz w:val="24"/>
          <w:szCs w:val="24"/>
        </w:rPr>
        <w:t xml:space="preserve"> Календарном графике выполнения работ</w:t>
      </w:r>
      <w:bookmarkStart w:id="25" w:name="_Toc51339698"/>
      <w:r>
        <w:rPr>
          <w:sz w:val="24"/>
          <w:szCs w:val="24"/>
        </w:rPr>
        <w:t>, являющегося приложением к проекту договора подряда.</w:t>
      </w:r>
      <w:bookmarkStart w:id="26" w:name="_Toc126842037"/>
      <w:bookmarkEnd w:id="26"/>
    </w:p>
    <w:p>
      <w:pPr>
        <w:pStyle w:val="Normal"/>
        <w:keepNext w:val="true"/>
        <w:keepLines/>
        <w:numPr>
          <w:ilvl w:val="0"/>
          <w:numId w:val="0"/>
        </w:numPr>
        <w:spacing w:before="240" w:after="60"/>
        <w:ind w:left="0" w:hanging="0"/>
        <w:outlineLvl w:val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2.2 Требования к качеству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</w:rPr>
      </w:pPr>
      <w:bookmarkStart w:id="27" w:name="_Toc126842038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. Требования к </w:t>
      </w:r>
      <w:bookmarkEnd w:id="25"/>
      <w:r>
        <w:rPr>
          <w:sz w:val="24"/>
          <w:szCs w:val="24"/>
          <w:lang w:val="ru-RU"/>
        </w:rPr>
        <w:t>качеству работ</w:t>
      </w:r>
      <w:bookmarkEnd w:id="27"/>
      <w:r>
        <w:rPr>
          <w:sz w:val="24"/>
          <w:szCs w:val="24"/>
        </w:rPr>
        <w:t xml:space="preserve"> </w:t>
      </w:r>
    </w:p>
    <w:tbl>
      <w:tblPr>
        <w:tblStyle w:val="affff5"/>
        <w:tblW w:w="9923" w:type="dxa"/>
        <w:jc w:val="left"/>
        <w:tblInd w:w="73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67"/>
        <w:gridCol w:w="1839"/>
        <w:gridCol w:w="3531"/>
        <w:gridCol w:w="3685"/>
      </w:tblGrid>
      <w:tr>
        <w:trPr/>
        <w:tc>
          <w:tcPr>
            <w:tcW w:w="867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3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53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6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6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3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3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3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5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6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368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После выполнения полного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>
          <w:trHeight w:val="448" w:hRule="atLeast"/>
        </w:trPr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Материалы и оборудование, высвобождаемые после демонтажа, передаются Заказчику с оформлением акта передачи. Демонтируемые материалы складируются на территории подстанции.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Работы выполняются по проекту производства работ (ППР) разработанному Подрядчиком и согласованному с Заказчиком. ППР предоставляется Подрядчиком заблаговременно до начала производства работ</w:t>
            </w:r>
          </w:p>
        </w:tc>
        <w:tc>
          <w:tcPr>
            <w:tcW w:w="368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Не менее чем за 5 рабочих дней до начала выполнения работ Подрядчик 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Заявка на вывод оборудования в ремонт подается Подрядчиком не позднее 10 календарных дней до начала производства работ. Продолжительность и периодичность вывода в ремонт зависят от режима сети.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368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10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1.5.1</w:t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Annotationtext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СП 48.13330.2019 "СНиП 12-01-2004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Annotation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безопасности опасных производственных объектов, на которых используются подъемные сооружения» (приказ Ростехнадзора от 26.11.2020 № 461);</w:t>
            </w:r>
          </w:p>
          <w:p>
            <w:pPr>
              <w:pStyle w:val="Normal"/>
              <w:widowControl w:val="false"/>
              <w:tabs>
                <w:tab w:val="clear" w:pos="1008"/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68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Обеспечить выполнение требований Правил по охране труда при эксплуатации электроустановок (Приказ от 15 декабря 2020 г. № 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903н</w:t>
            </w: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испытаниях оборудования повышенным напряжением;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3 к техническим требованиям (Приложение В к Порядку работы с переносными средствами видеофиксации в АО «ДРСК» Прк-СМОЗиОБТ-9.1-01/09-26).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368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т.ч. скрытых)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368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7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37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28" w:name="_Toc126842039"/>
      <w:bookmarkEnd w:id="28"/>
      <w:r>
        <w:rPr>
          <w:lang w:val="ru-RU"/>
        </w:rPr>
        <w:t>Требования к документации по ценообразованию на этапе закупки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  <w:lang w:val="ru-RU"/>
        </w:rPr>
      </w:pPr>
      <w:r>
        <w:rPr>
          <w:b w:val="false"/>
          <w:lang w:val="ru-RU"/>
        </w:rPr>
        <w:t xml:space="preserve">        </w:t>
      </w:r>
      <w:r>
        <w:rPr>
          <w:b w:val="false"/>
          <w:lang w:val="ru-RU"/>
        </w:rPr>
        <w:t xml:space="preserve">3.1.  </w:t>
      </w:r>
      <w:r>
        <w:rPr>
          <w:b w:val="false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b w:val="false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b w:val="false"/>
          <w:lang w:val="ru-RU" w:eastAsia="ru-RU"/>
        </w:rPr>
        <w:t>У</w:t>
      </w:r>
      <w:r>
        <w:rPr>
          <w:b w:val="false"/>
          <w:lang w:eastAsia="ru-RU"/>
        </w:rPr>
        <w:t>частника</w:t>
      </w:r>
      <w:r>
        <w:rPr>
          <w:b w:val="false"/>
        </w:rPr>
        <w:t xml:space="preserve"> (приложение </w:t>
      </w:r>
      <w:r>
        <w:rPr>
          <w:b w:val="false"/>
          <w:lang w:val="ru-RU"/>
        </w:rPr>
        <w:t>4</w:t>
      </w:r>
      <w:r>
        <w:rPr>
          <w:b w:val="false"/>
        </w:rPr>
        <w:t xml:space="preserve"> к Техническим требованиям)</w:t>
      </w:r>
      <w:r>
        <w:rPr>
          <w:b w:val="false"/>
          <w:lang w:val="ru-RU"/>
        </w:rPr>
        <w:t>.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</w:rPr>
      </w:pPr>
      <w:r>
        <w:rPr>
          <w:b w:val="false"/>
          <w:lang w:val="ru-RU"/>
        </w:rPr>
        <w:t xml:space="preserve">        </w:t>
      </w:r>
      <w:r>
        <w:rPr>
          <w:b w:val="false"/>
          <w:lang w:val="ru-RU"/>
        </w:rPr>
        <w:t xml:space="preserve">3.2. </w:t>
      </w:r>
      <w:r>
        <w:rPr>
          <w:b w:val="false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jc w:val="both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29" w:name="_Toc126842040"/>
      <w:bookmarkEnd w:id="29"/>
      <w:r>
        <w:rPr>
          <w:lang w:val="ru-RU"/>
        </w:rPr>
        <w:t>Требования к документации по ценообразованию на этапе заключения (исполнения) договора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</w:rPr>
      </w:pPr>
      <w:r>
        <w:rPr>
          <w:b w:val="false"/>
          <w:szCs w:val="22"/>
          <w:lang w:val="ru-RU"/>
        </w:rPr>
        <w:t xml:space="preserve">          </w:t>
      </w:r>
      <w:r>
        <w:rPr>
          <w:b w:val="false"/>
          <w:szCs w:val="22"/>
          <w:lang w:val="ru-RU"/>
        </w:rPr>
        <w:t>4.1.</w:t>
      </w:r>
      <w:r>
        <w:rPr>
          <w:szCs w:val="22"/>
        </w:rPr>
        <w:t xml:space="preserve"> </w:t>
      </w:r>
      <w:r>
        <w:rPr>
          <w:b w:val="false"/>
        </w:rPr>
        <w:t xml:space="preserve">Сметная документация разработана </w:t>
      </w:r>
      <w:r>
        <w:rPr>
          <w:b w:val="false"/>
          <w:lang w:val="ru-RU"/>
        </w:rPr>
        <w:t>Заказчиком</w:t>
      </w:r>
      <w:r>
        <w:rPr>
          <w:b w:val="false"/>
        </w:rPr>
        <w:t xml:space="preserve">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widowControl w:val="false"/>
        <w:tabs>
          <w:tab w:val="clear" w:pos="1008"/>
          <w:tab w:val="left" w:pos="426" w:leader="none"/>
        </w:tabs>
        <w:spacing w:before="60" w:after="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    </w:t>
      </w:r>
      <w:r>
        <w:rPr>
          <w:sz w:val="24"/>
          <w:szCs w:val="22"/>
        </w:rPr>
        <w:t xml:space="preserve">4.2. Внесение изменений в сметную документацию Заказчика, кроме применения понижающего коэффициента в соответствии с п. 4.1, не </w:t>
      </w:r>
      <w:r>
        <w:rPr>
          <w:sz w:val="24"/>
          <w:szCs w:val="22"/>
          <w:shd w:fill="FFFFFF" w:val="clear"/>
        </w:rPr>
        <w:t>допускается.</w:t>
      </w:r>
    </w:p>
    <w:p>
      <w:pPr>
        <w:pStyle w:val="Normal"/>
        <w:widowControl w:val="false"/>
        <w:tabs>
          <w:tab w:val="clear" w:pos="1008"/>
          <w:tab w:val="left" w:pos="426" w:leader="none"/>
        </w:tabs>
        <w:spacing w:before="60" w:after="0"/>
        <w:jc w:val="both"/>
        <w:rPr>
          <w:rStyle w:val="Style16"/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iCs/>
          <w:caps/>
        </w:rPr>
      </w:pPr>
      <w:bookmarkStart w:id="30" w:name="_Toc126842041"/>
      <w:bookmarkEnd w:id="30"/>
      <w:r>
        <w:rPr>
          <w:iCs/>
        </w:rPr>
        <w:t>Приложения</w:t>
      </w:r>
    </w:p>
    <w:p>
      <w:pPr>
        <w:pStyle w:val="Normal"/>
        <w:spacing w:before="60" w:after="0"/>
        <w:rPr/>
      </w:pPr>
      <w:r>
        <w:rPr>
          <w:i/>
          <w:sz w:val="24"/>
          <w:szCs w:val="24"/>
        </w:rPr>
        <w:t>Приложение № 1.1 – 1.2: Ведомости дефектов и объемов работ № 1-2;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3: Согласие на обработку персональных данных;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4: Требования к ценообразованию при формировании Коммерческого предложения в составе заявки участника;</w:t>
      </w:r>
      <w:bookmarkStart w:id="31" w:name="_GoBack"/>
      <w:bookmarkEnd w:id="31"/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5: Сметная документация.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134" w:right="851" w:header="680" w:top="1134" w:footer="0" w:bottom="992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pStyle w:val="3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0"/>
  <w:defaultTabStop w:val="10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rsid w:val="00ea61a8"/>
    <w:pPr>
      <w:numPr>
        <w:ilvl w:val="0"/>
        <w:numId w:val="0"/>
      </w:numPr>
      <w:outlineLvl w:val="1"/>
    </w:pPr>
    <w:rPr/>
  </w:style>
  <w:style w:type="paragraph" w:styleId="3">
    <w:name w:val="Heading 3"/>
    <w:basedOn w:val="Normal"/>
    <w:autoRedefine/>
    <w:qFormat/>
    <w:rsid w:val="00035e96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сноски"/>
    <w:qFormat/>
    <w:rsid w:val="00d561d9"/>
    <w:rPr>
      <w:vertAlign w:val="superscript"/>
    </w:rPr>
  </w:style>
  <w:style w:type="character" w:styleId="Style6">
    <w:name w:val="Привязка сноски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7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8" w:customStyle="1">
    <w:name w:val="Название Знак"/>
    <w:uiPriority w:val="10"/>
    <w:qFormat/>
    <w:rsid w:val="00d22f6d"/>
    <w:rPr>
      <w:sz w:val="28"/>
    </w:rPr>
  </w:style>
  <w:style w:type="character" w:styleId="Style9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10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1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2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qFormat/>
    <w:locked/>
    <w:rsid w:val="00d22f6d"/>
    <w:rPr>
      <w:sz w:val="28"/>
    </w:rPr>
  </w:style>
  <w:style w:type="character" w:styleId="Style13" w:customStyle="1">
    <w:name w:val="Текст сноски Знак"/>
    <w:uiPriority w:val="99"/>
    <w:qFormat/>
    <w:rsid w:val="00d22f6d"/>
    <w:rPr/>
  </w:style>
  <w:style w:type="character" w:styleId="Style14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5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16" w:customStyle="1">
    <w:name w:val="комментарий"/>
    <w:qFormat/>
    <w:rsid w:val="0025139e"/>
    <w:rPr>
      <w:i/>
      <w:shd w:fill="FFFF99" w:val="clear"/>
    </w:rPr>
  </w:style>
  <w:style w:type="character" w:styleId="Style17" w:customStyle="1">
    <w:name w:val="Подподпункт Знак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qFormat/>
    <w:rsid w:val="00b56f46"/>
    <w:rPr>
      <w:rFonts w:eastAsia="Calibri"/>
      <w:sz w:val="26"/>
      <w:szCs w:val="28"/>
      <w:lang w:eastAsia="en-US"/>
    </w:rPr>
  </w:style>
  <w:style w:type="character" w:styleId="Style18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9" w:customStyle="1">
    <w:name w:val="Текст примечания Знак"/>
    <w:semiHidden/>
    <w:qFormat/>
    <w:rsid w:val="00dc0f7d"/>
    <w:rPr/>
  </w:style>
  <w:style w:type="character" w:styleId="Style20" w:customStyle="1">
    <w:name w:val="Текст концевой сноски Знак"/>
    <w:basedOn w:val="DefaultParagraphFont"/>
    <w:qFormat/>
    <w:rsid w:val="003879d4"/>
    <w:rPr/>
  </w:style>
  <w:style w:type="character" w:styleId="Style21" w:customStyle="1">
    <w:name w:val="Символ концевой сноски"/>
    <w:basedOn w:val="DefaultParagraphFont"/>
    <w:qFormat/>
    <w:rsid w:val="003879d4"/>
    <w:rPr>
      <w:vertAlign w:val="superscript"/>
    </w:rPr>
  </w:style>
  <w:style w:type="character" w:styleId="Style22">
    <w:name w:val="Привязка концевой сноски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23" w:customStyle="1">
    <w:name w:val="Пункт2 Знак"/>
    <w:qFormat/>
    <w:rsid w:val="00de52bc"/>
    <w:rPr>
      <w:b/>
      <w:sz w:val="28"/>
    </w:rPr>
  </w:style>
  <w:style w:type="character" w:styleId="13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qFormat/>
    <w:rsid w:val="00c36f30"/>
    <w:rPr>
      <w:sz w:val="16"/>
      <w:szCs w:val="16"/>
    </w:rPr>
  </w:style>
  <w:style w:type="character" w:styleId="Style23" w:customStyle="1">
    <w:name w:val="Ссылка указателя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5">
    <w:name w:val="Body Text"/>
    <w:basedOn w:val="Normal"/>
    <w:rsid w:val="0076353a"/>
    <w:pPr>
      <w:spacing w:before="0" w:after="12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</w:rPr>
  </w:style>
  <w:style w:type="paragraph" w:styleId="Style29">
    <w:name w:val="Title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29"/>
    <w:qFormat/>
    <w:pPr/>
    <w:rPr/>
  </w:style>
  <w:style w:type="paragraph" w:styleId="Style30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1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2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Style33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rsid w:val="0076353a"/>
    <w:pPr>
      <w:tabs>
        <w:tab w:val="clear" w:pos="10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6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7">
    <w:name w:val="Footer"/>
    <w:basedOn w:val="Normal"/>
    <w:rsid w:val="0076353a"/>
    <w:pPr>
      <w:tabs>
        <w:tab w:val="clear" w:pos="10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8" w:customStyle="1">
    <w:name w:val="Подпункт"/>
    <w:basedOn w:val="Normal"/>
    <w:qFormat/>
    <w:rsid w:val="0076353a"/>
    <w:pPr>
      <w:tabs>
        <w:tab w:val="clear" w:pos="10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qFormat/>
    <w:rsid w:val="0076353a"/>
    <w:pPr>
      <w:keepNext w:val="true"/>
      <w:tabs>
        <w:tab w:val="clear" w:pos="10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autoRedefine/>
    <w:uiPriority w:val="39"/>
    <w:rsid w:val="00d5482f"/>
    <w:pPr>
      <w:tabs>
        <w:tab w:val="clear" w:pos="10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39" w:customStyle="1">
    <w:name w:val="Раздел регламента"/>
    <w:basedOn w:val="Normal"/>
    <w:qFormat/>
    <w:rsid w:val="00e228fa"/>
    <w:pPr/>
    <w:rPr/>
  </w:style>
  <w:style w:type="paragraph" w:styleId="Style4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 w:customStyle="1">
    <w:name w:val="caption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2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numPr>
        <w:ilvl w:val="0"/>
        <w:numId w:val="0"/>
      </w:numPr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widowControl w:val="false"/>
      <w:tabs>
        <w:tab w:val="clear" w:pos="10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8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clear" w:pos="10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Symbol" w:customStyle="1">
    <w:name w:val="Endnote Symbol"/>
    <w:basedOn w:val="Normal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1" w:customStyle="1">
    <w:name w:val="Plain Text1"/>
    <w:basedOn w:val="Normal"/>
    <w:qFormat/>
    <w:rsid w:val="00c62d8a"/>
    <w:pPr>
      <w:widowControl w:val="false"/>
    </w:pPr>
    <w:rPr>
      <w:rFonts w:ascii="Courier New" w:hAnsi="Courier New"/>
      <w:sz w:val="20"/>
      <w:szCs w:val="20"/>
    </w:rPr>
  </w:style>
  <w:style w:type="paragraph" w:styleId="Style52" w:customStyle="1">
    <w:name w:val="Содержимое таблицы"/>
    <w:basedOn w:val="Normal"/>
    <w:qFormat/>
    <w:pPr/>
    <w:rPr/>
  </w:style>
  <w:style w:type="paragraph" w:styleId="Style53" w:customStyle="1">
    <w:name w:val="Заголовок таблицы"/>
    <w:basedOn w:val="Style52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24E4-0E6B-4A63-947B-3C4617E6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LibreOffice/7.1.8.1$Linux_X86_64 LibreOffice_project/10$Build-1</Application>
  <AppVersion>15.0000</AppVersion>
  <Pages>10</Pages>
  <Words>2033</Words>
  <Characters>14241</Characters>
  <CharactersWithSpaces>16084</CharactersWithSpaces>
  <Paragraphs>258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2026-03-31T05:50:00Z</dcterms:created>
  <dc:creator>Быстров Олег Геннадьевич</dc:creator>
  <dc:description/>
  <dc:language>ru-RU</dc:language>
  <cp:lastModifiedBy/>
  <cp:lastPrinted>2026-01-30T09:02:00Z</cp:lastPrinted>
  <dcterms:modified xsi:type="dcterms:W3CDTF">2026-04-13T16:35:20Z</dcterms:modified>
  <cp:revision>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